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71" w:rsidRPr="002909E7" w:rsidRDefault="002909E7" w:rsidP="002909E7">
      <w:pPr>
        <w:tabs>
          <w:tab w:val="left" w:pos="1545"/>
        </w:tabs>
        <w:jc w:val="right"/>
        <w:rPr>
          <w:rFonts w:ascii="Segoe UI" w:hAnsi="Segoe UI" w:cs="Segoe UI"/>
        </w:rPr>
      </w:pPr>
      <w:r w:rsidRPr="002909E7">
        <w:rPr>
          <w:rFonts w:ascii="Segoe UI" w:hAnsi="Segoe UI" w:cs="Segoe UI"/>
        </w:rPr>
        <w:t>Poznań,</w:t>
      </w:r>
      <w:r>
        <w:rPr>
          <w:rFonts w:ascii="Segoe UI" w:hAnsi="Segoe UI" w:cs="Segoe UI"/>
        </w:rPr>
        <w:t xml:space="preserve"> dnia</w:t>
      </w:r>
      <w:r w:rsidRPr="002909E7">
        <w:rPr>
          <w:rFonts w:ascii="Segoe UI" w:hAnsi="Segoe UI" w:cs="Segoe UI"/>
        </w:rPr>
        <w:t xml:space="preserve"> </w:t>
      </w:r>
      <w:r w:rsidR="00854065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czerwca 2021 roku </w:t>
      </w:r>
      <w:r w:rsidR="008F3371" w:rsidRPr="002909E7">
        <w:rPr>
          <w:rFonts w:ascii="Segoe UI" w:hAnsi="Segoe UI" w:cs="Segoe UI"/>
        </w:rPr>
        <w:tab/>
      </w:r>
    </w:p>
    <w:p w:rsidR="00653828" w:rsidRDefault="00653828" w:rsidP="00653828">
      <w:pPr>
        <w:tabs>
          <w:tab w:val="left" w:pos="1545"/>
        </w:tabs>
        <w:jc w:val="center"/>
        <w:rPr>
          <w:rFonts w:ascii="Segoe UI" w:hAnsi="Segoe UI" w:cs="Segoe UI"/>
          <w:b/>
        </w:rPr>
      </w:pPr>
      <w:r w:rsidRPr="00653828">
        <w:rPr>
          <w:rFonts w:ascii="Segoe UI" w:hAnsi="Segoe UI" w:cs="Segoe UI"/>
          <w:b/>
        </w:rPr>
        <w:t>MOVE 2021 – o tym porozmawiamy podczas tegorocznej edycji Kongresu</w:t>
      </w:r>
    </w:p>
    <w:p w:rsidR="00653828" w:rsidRDefault="00653828" w:rsidP="00854065">
      <w:pPr>
        <w:tabs>
          <w:tab w:val="left" w:pos="1545"/>
        </w:tabs>
        <w:jc w:val="both"/>
        <w:rPr>
          <w:rFonts w:ascii="Segoe UI" w:hAnsi="Segoe UI" w:cs="Segoe UI"/>
          <w:b/>
        </w:rPr>
      </w:pPr>
      <w:r w:rsidRPr="00653828">
        <w:rPr>
          <w:rFonts w:ascii="Segoe UI" w:hAnsi="Segoe UI" w:cs="Segoe UI"/>
          <w:b/>
        </w:rPr>
        <w:t>18 czerwca 2021 roku, już po raz trzeci, eksperci i praktycy rynku e-</w:t>
      </w:r>
      <w:proofErr w:type="spellStart"/>
      <w:r w:rsidRPr="00653828">
        <w:rPr>
          <w:rFonts w:ascii="Segoe UI" w:hAnsi="Segoe UI" w:cs="Segoe UI"/>
          <w:b/>
        </w:rPr>
        <w:t>mobility</w:t>
      </w:r>
      <w:proofErr w:type="spellEnd"/>
      <w:r w:rsidRPr="00653828">
        <w:rPr>
          <w:rFonts w:ascii="Segoe UI" w:hAnsi="Segoe UI" w:cs="Segoe UI"/>
          <w:b/>
        </w:rPr>
        <w:t xml:space="preserve"> spotkają się, aby porozmawiać o przyszłości motoryzacji. Wydarzenie, organizowane przez Grupę MTP będzie można śledzić na żywo w Internecie. </w:t>
      </w:r>
    </w:p>
    <w:p w:rsidR="00854065" w:rsidRDefault="00653828" w:rsidP="00653828">
      <w:pPr>
        <w:tabs>
          <w:tab w:val="left" w:pos="1545"/>
        </w:tabs>
        <w:jc w:val="both"/>
        <w:rPr>
          <w:rFonts w:ascii="Segoe UI" w:hAnsi="Segoe UI" w:cs="Segoe UI"/>
        </w:rPr>
      </w:pPr>
      <w:r w:rsidRPr="00653828">
        <w:rPr>
          <w:rFonts w:ascii="Segoe UI" w:hAnsi="Segoe UI" w:cs="Segoe UI"/>
        </w:rPr>
        <w:t>Kongres MOVE to jedyne tej rangi forum dedykowane ekspertom i praktykom rynku e-</w:t>
      </w:r>
      <w:proofErr w:type="spellStart"/>
      <w:r w:rsidRPr="00653828">
        <w:rPr>
          <w:rFonts w:ascii="Segoe UI" w:hAnsi="Segoe UI" w:cs="Segoe UI"/>
        </w:rPr>
        <w:t>mobility</w:t>
      </w:r>
      <w:proofErr w:type="spellEnd"/>
      <w:r w:rsidRPr="0065382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653828">
        <w:rPr>
          <w:rFonts w:ascii="Segoe UI" w:hAnsi="Segoe UI" w:cs="Segoe UI"/>
        </w:rPr>
        <w:t>w Europie Środkowo-Wsc</w:t>
      </w:r>
      <w:r>
        <w:rPr>
          <w:rFonts w:ascii="Segoe UI" w:hAnsi="Segoe UI" w:cs="Segoe UI"/>
        </w:rPr>
        <w:t xml:space="preserve">hodniej. Podczas MOVE omawiane </w:t>
      </w:r>
      <w:r w:rsidRPr="00653828">
        <w:rPr>
          <w:rFonts w:ascii="Segoe UI" w:hAnsi="Segoe UI" w:cs="Segoe UI"/>
        </w:rPr>
        <w:t xml:space="preserve">są najważniejsze zagadnienia związane z przyszłością motoryzacji, a w szczególności te, dotyczące kwestii </w:t>
      </w:r>
      <w:proofErr w:type="spellStart"/>
      <w:r w:rsidRPr="00653828">
        <w:rPr>
          <w:rFonts w:ascii="Segoe UI" w:hAnsi="Segoe UI" w:cs="Segoe UI"/>
        </w:rPr>
        <w:t>elektromobilności</w:t>
      </w:r>
      <w:proofErr w:type="spellEnd"/>
      <w:r w:rsidRPr="0065382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br/>
      </w:r>
      <w:r w:rsidRPr="00653828">
        <w:rPr>
          <w:rFonts w:ascii="Segoe UI" w:hAnsi="Segoe UI" w:cs="Segoe UI"/>
        </w:rPr>
        <w:t>i zrównoważonego transportu.</w:t>
      </w:r>
    </w:p>
    <w:p w:rsidR="003255F0" w:rsidRDefault="00653828" w:rsidP="00653828">
      <w:pPr>
        <w:tabs>
          <w:tab w:val="left" w:pos="1545"/>
        </w:tabs>
        <w:spacing w:after="0"/>
        <w:jc w:val="both"/>
        <w:rPr>
          <w:rFonts w:ascii="Segoe UI" w:hAnsi="Segoe UI" w:cs="Segoe UI"/>
        </w:rPr>
      </w:pPr>
      <w:r w:rsidRPr="00653828">
        <w:rPr>
          <w:rFonts w:ascii="Segoe UI" w:hAnsi="Segoe UI" w:cs="Segoe UI"/>
        </w:rPr>
        <w:t xml:space="preserve">- </w:t>
      </w:r>
      <w:r w:rsidRPr="00653828">
        <w:rPr>
          <w:rFonts w:ascii="Segoe UI" w:hAnsi="Segoe UI" w:cs="Segoe UI"/>
          <w:i/>
        </w:rPr>
        <w:t xml:space="preserve">Kiedy w 2018 roku po raz pierwszy organizowaliśmy Kongres MOVE, </w:t>
      </w:r>
      <w:proofErr w:type="spellStart"/>
      <w:r w:rsidRPr="00653828">
        <w:rPr>
          <w:rFonts w:ascii="Segoe UI" w:hAnsi="Segoe UI" w:cs="Segoe UI"/>
          <w:i/>
        </w:rPr>
        <w:t>elektromobilna</w:t>
      </w:r>
      <w:proofErr w:type="spellEnd"/>
      <w:r w:rsidRPr="00653828">
        <w:rPr>
          <w:rFonts w:ascii="Segoe UI" w:hAnsi="Segoe UI" w:cs="Segoe UI"/>
          <w:i/>
        </w:rPr>
        <w:t xml:space="preserve"> rewolucja wydawała się wizją dość odległej przyszłości. Wystarczyły trzy lata, aby wizja ta stała się rzeczywistością. Nasze pokolenie ma ogromne szczęście, że może być świadkiem i uczestnikiem największej transformacji w historii motoryzacji. Rozwiązania znane z rynku e-</w:t>
      </w:r>
      <w:proofErr w:type="spellStart"/>
      <w:r w:rsidRPr="00653828">
        <w:rPr>
          <w:rFonts w:ascii="Segoe UI" w:hAnsi="Segoe UI" w:cs="Segoe UI"/>
          <w:i/>
        </w:rPr>
        <w:t>mobility</w:t>
      </w:r>
      <w:proofErr w:type="spellEnd"/>
      <w:r w:rsidRPr="00653828">
        <w:rPr>
          <w:rFonts w:ascii="Segoe UI" w:hAnsi="Segoe UI" w:cs="Segoe UI"/>
          <w:i/>
        </w:rPr>
        <w:t xml:space="preserve"> są już wdrażane zarówno przez wiodących producentów pojazdów, jak i włodarzy miast, którzy coraz chętniej interesują się tematem zrównoważonego transportu. Zmiany, które widzimy następują również </w:t>
      </w:r>
      <w:r>
        <w:rPr>
          <w:rFonts w:ascii="Segoe UI" w:hAnsi="Segoe UI" w:cs="Segoe UI"/>
          <w:i/>
        </w:rPr>
        <w:br/>
      </w:r>
      <w:r w:rsidRPr="00653828">
        <w:rPr>
          <w:rFonts w:ascii="Segoe UI" w:hAnsi="Segoe UI" w:cs="Segoe UI"/>
          <w:i/>
        </w:rPr>
        <w:t xml:space="preserve">w Polsce, gdzie klimat dla </w:t>
      </w:r>
      <w:proofErr w:type="spellStart"/>
      <w:r w:rsidRPr="00653828">
        <w:rPr>
          <w:rFonts w:ascii="Segoe UI" w:hAnsi="Segoe UI" w:cs="Segoe UI"/>
          <w:i/>
        </w:rPr>
        <w:t>elektromobilności</w:t>
      </w:r>
      <w:proofErr w:type="spellEnd"/>
      <w:r w:rsidRPr="00653828">
        <w:rPr>
          <w:rFonts w:ascii="Segoe UI" w:hAnsi="Segoe UI" w:cs="Segoe UI"/>
          <w:i/>
        </w:rPr>
        <w:t xml:space="preserve"> staje się coraz lepszy</w:t>
      </w:r>
      <w:r w:rsidRPr="00653828">
        <w:rPr>
          <w:rFonts w:ascii="Segoe UI" w:hAnsi="Segoe UI" w:cs="Segoe UI"/>
        </w:rPr>
        <w:t xml:space="preserve"> – podkreśla Tomasz Kobierski, prezes Grupy MTP. - </w:t>
      </w:r>
      <w:r w:rsidRPr="00653828">
        <w:rPr>
          <w:rFonts w:ascii="Segoe UI" w:hAnsi="Segoe UI" w:cs="Segoe UI"/>
          <w:i/>
        </w:rPr>
        <w:t>Kongres MOVE będzie okazją do tego, aby porozmawiać o trwającej rewolucji w gronie praktyków i ekspertów z branży motoryzacyjnej oraz przedstawicieli administracji publicznej. Dzięki bogatemu programowi mogę z pełnym przekonaniem stwierdzić, że czeka nas najważniejsze wydarzenie dedykowane rynkowi e-</w:t>
      </w:r>
      <w:proofErr w:type="spellStart"/>
      <w:r w:rsidRPr="00653828">
        <w:rPr>
          <w:rFonts w:ascii="Segoe UI" w:hAnsi="Segoe UI" w:cs="Segoe UI"/>
          <w:i/>
        </w:rPr>
        <w:t>mobility</w:t>
      </w:r>
      <w:proofErr w:type="spellEnd"/>
      <w:r w:rsidRPr="00653828">
        <w:rPr>
          <w:rFonts w:ascii="Segoe UI" w:hAnsi="Segoe UI" w:cs="Segoe UI"/>
          <w:i/>
        </w:rPr>
        <w:t xml:space="preserve"> w Polsce</w:t>
      </w:r>
      <w:r w:rsidRPr="00653828">
        <w:rPr>
          <w:rFonts w:ascii="Segoe UI" w:hAnsi="Segoe UI" w:cs="Segoe UI"/>
        </w:rPr>
        <w:t xml:space="preserve"> – dodaje.</w:t>
      </w:r>
    </w:p>
    <w:p w:rsidR="00653828" w:rsidRDefault="00653828" w:rsidP="00653828">
      <w:pPr>
        <w:tabs>
          <w:tab w:val="left" w:pos="1545"/>
        </w:tabs>
        <w:spacing w:after="0"/>
        <w:jc w:val="both"/>
        <w:rPr>
          <w:rFonts w:ascii="Segoe UI" w:hAnsi="Segoe UI" w:cs="Segoe UI"/>
        </w:rPr>
      </w:pPr>
    </w:p>
    <w:p w:rsidR="00653828" w:rsidRDefault="00653828" w:rsidP="00653828">
      <w:pPr>
        <w:pStyle w:val="GrupaMTP"/>
        <w:jc w:val="both"/>
        <w:rPr>
          <w:b/>
          <w:sz w:val="22"/>
          <w:szCs w:val="22"/>
        </w:rPr>
      </w:pPr>
      <w:r w:rsidRPr="00653828">
        <w:rPr>
          <w:b/>
          <w:sz w:val="22"/>
          <w:szCs w:val="22"/>
        </w:rPr>
        <w:t xml:space="preserve">Wszystko, co trzeba wiedzieć o </w:t>
      </w:r>
      <w:proofErr w:type="spellStart"/>
      <w:r w:rsidRPr="00653828">
        <w:rPr>
          <w:b/>
          <w:sz w:val="22"/>
          <w:szCs w:val="22"/>
        </w:rPr>
        <w:t>elektromobilności</w:t>
      </w:r>
      <w:proofErr w:type="spellEnd"/>
      <w:r w:rsidRPr="00653828">
        <w:rPr>
          <w:b/>
          <w:sz w:val="22"/>
          <w:szCs w:val="22"/>
        </w:rPr>
        <w:t xml:space="preserve">  </w:t>
      </w:r>
    </w:p>
    <w:p w:rsidR="00653828" w:rsidRDefault="00653828" w:rsidP="00653828">
      <w:pPr>
        <w:pStyle w:val="GrupaMTP"/>
        <w:jc w:val="both"/>
        <w:rPr>
          <w:b/>
          <w:sz w:val="22"/>
          <w:szCs w:val="22"/>
        </w:rPr>
      </w:pPr>
    </w:p>
    <w:p w:rsidR="00653828" w:rsidRPr="00653828" w:rsidRDefault="00653828" w:rsidP="00653828">
      <w:pPr>
        <w:pStyle w:val="GrupaMTP"/>
        <w:spacing w:after="200"/>
        <w:jc w:val="both"/>
        <w:rPr>
          <w:sz w:val="22"/>
          <w:szCs w:val="22"/>
        </w:rPr>
      </w:pPr>
      <w:r w:rsidRPr="00653828">
        <w:rPr>
          <w:sz w:val="22"/>
          <w:szCs w:val="22"/>
        </w:rPr>
        <w:t xml:space="preserve">Wydarzenie gromadzi profesjonalistów z całego łańcucha wartości </w:t>
      </w:r>
      <w:r w:rsidRPr="00653828">
        <w:rPr>
          <w:sz w:val="22"/>
          <w:szCs w:val="22"/>
        </w:rPr>
        <w:br/>
        <w:t xml:space="preserve">w </w:t>
      </w:r>
      <w:proofErr w:type="spellStart"/>
      <w:r w:rsidRPr="00653828">
        <w:rPr>
          <w:sz w:val="22"/>
          <w:szCs w:val="22"/>
        </w:rPr>
        <w:t>elektromobilności</w:t>
      </w:r>
      <w:proofErr w:type="spellEnd"/>
      <w:r w:rsidRPr="00653828">
        <w:rPr>
          <w:sz w:val="22"/>
          <w:szCs w:val="22"/>
        </w:rPr>
        <w:t xml:space="preserve"> – ekspertów i praktyków rynku e-</w:t>
      </w:r>
      <w:proofErr w:type="spellStart"/>
      <w:r w:rsidRPr="00653828">
        <w:rPr>
          <w:sz w:val="22"/>
          <w:szCs w:val="22"/>
        </w:rPr>
        <w:t>mobility</w:t>
      </w:r>
      <w:proofErr w:type="spellEnd"/>
      <w:r w:rsidRPr="00653828">
        <w:rPr>
          <w:sz w:val="22"/>
          <w:szCs w:val="22"/>
        </w:rPr>
        <w:t>, w tym przedstawicieli wiodących koncernów, administracji publicznej, organizacji branżowych i świata nauki.</w:t>
      </w:r>
      <w:r>
        <w:rPr>
          <w:sz w:val="22"/>
          <w:szCs w:val="22"/>
        </w:rPr>
        <w:t xml:space="preserve"> </w:t>
      </w:r>
      <w:r w:rsidRPr="00653828">
        <w:rPr>
          <w:sz w:val="22"/>
          <w:szCs w:val="22"/>
        </w:rPr>
        <w:t xml:space="preserve">Współorganizatorem Kongresu MOVE jest PSPA – Polskie Stowarzyszenie Paliw Alternatywnych, członek AVERE </w:t>
      </w:r>
      <w:r>
        <w:rPr>
          <w:sz w:val="22"/>
          <w:szCs w:val="22"/>
        </w:rPr>
        <w:br/>
      </w:r>
      <w:r w:rsidRPr="00653828">
        <w:rPr>
          <w:sz w:val="22"/>
          <w:szCs w:val="22"/>
        </w:rPr>
        <w:t xml:space="preserve">(The </w:t>
      </w:r>
      <w:proofErr w:type="spellStart"/>
      <w:r w:rsidRPr="00653828">
        <w:rPr>
          <w:sz w:val="22"/>
          <w:szCs w:val="22"/>
        </w:rPr>
        <w:t>European</w:t>
      </w:r>
      <w:proofErr w:type="spellEnd"/>
      <w:r w:rsidRPr="00653828">
        <w:rPr>
          <w:sz w:val="22"/>
          <w:szCs w:val="22"/>
        </w:rPr>
        <w:t xml:space="preserve"> </w:t>
      </w:r>
      <w:proofErr w:type="spellStart"/>
      <w:r w:rsidRPr="00653828">
        <w:rPr>
          <w:sz w:val="22"/>
          <w:szCs w:val="22"/>
        </w:rPr>
        <w:t>Association</w:t>
      </w:r>
      <w:proofErr w:type="spellEnd"/>
      <w:r w:rsidRPr="00653828">
        <w:rPr>
          <w:sz w:val="22"/>
          <w:szCs w:val="22"/>
        </w:rPr>
        <w:t xml:space="preserve"> for </w:t>
      </w:r>
      <w:proofErr w:type="spellStart"/>
      <w:r w:rsidRPr="00653828">
        <w:rPr>
          <w:sz w:val="22"/>
          <w:szCs w:val="22"/>
        </w:rPr>
        <w:t>Electromobility</w:t>
      </w:r>
      <w:proofErr w:type="spellEnd"/>
      <w:r w:rsidRPr="00653828">
        <w:rPr>
          <w:sz w:val="22"/>
          <w:szCs w:val="22"/>
        </w:rPr>
        <w:t xml:space="preserve">). </w:t>
      </w:r>
    </w:p>
    <w:p w:rsidR="00653828" w:rsidRPr="00653828" w:rsidRDefault="00653828" w:rsidP="00653828">
      <w:pPr>
        <w:pStyle w:val="GrupaMTP"/>
        <w:spacing w:after="200"/>
        <w:jc w:val="both"/>
        <w:rPr>
          <w:sz w:val="22"/>
          <w:szCs w:val="22"/>
        </w:rPr>
      </w:pPr>
      <w:r w:rsidRPr="00653828">
        <w:rPr>
          <w:sz w:val="22"/>
          <w:szCs w:val="22"/>
        </w:rPr>
        <w:t xml:space="preserve">- </w:t>
      </w:r>
      <w:r w:rsidRPr="00653828">
        <w:rPr>
          <w:i/>
          <w:sz w:val="22"/>
          <w:szCs w:val="22"/>
        </w:rPr>
        <w:t xml:space="preserve">Rok 2020 był pod wieloma względami rekordowy dla polskiej </w:t>
      </w:r>
      <w:proofErr w:type="spellStart"/>
      <w:r w:rsidRPr="00653828">
        <w:rPr>
          <w:i/>
          <w:sz w:val="22"/>
          <w:szCs w:val="22"/>
        </w:rPr>
        <w:t>elektromobilności</w:t>
      </w:r>
      <w:proofErr w:type="spellEnd"/>
      <w:r w:rsidRPr="00653828">
        <w:rPr>
          <w:i/>
          <w:sz w:val="22"/>
          <w:szCs w:val="22"/>
        </w:rPr>
        <w:t xml:space="preserve">. Mimo niesprzyjających warunków, zanotowaliśmy największy, jak do tej pory, wzrost rejestracji osobowych </w:t>
      </w:r>
      <w:r>
        <w:rPr>
          <w:i/>
          <w:sz w:val="22"/>
          <w:szCs w:val="22"/>
        </w:rPr>
        <w:br/>
      </w:r>
      <w:r w:rsidRPr="00653828">
        <w:rPr>
          <w:i/>
          <w:sz w:val="22"/>
          <w:szCs w:val="22"/>
        </w:rPr>
        <w:t xml:space="preserve">i dostawczych EV, a także elektrycznych autobusów. Przed nami jednak wciąż wiele poważnych wyzwań </w:t>
      </w:r>
      <w:r w:rsidRPr="00653828">
        <w:rPr>
          <w:sz w:val="22"/>
          <w:szCs w:val="22"/>
        </w:rPr>
        <w:t xml:space="preserve">– zaznacza Maciej Mazur, Dyrektor Zarządzający PSPA. </w:t>
      </w:r>
    </w:p>
    <w:p w:rsidR="00653828" w:rsidRPr="00653828" w:rsidRDefault="00653828" w:rsidP="00653828">
      <w:pPr>
        <w:pStyle w:val="GrupaMTP"/>
        <w:spacing w:after="200"/>
        <w:jc w:val="both"/>
        <w:rPr>
          <w:sz w:val="22"/>
          <w:szCs w:val="22"/>
        </w:rPr>
      </w:pPr>
    </w:p>
    <w:p w:rsidR="00653828" w:rsidRPr="00653828" w:rsidRDefault="00653828" w:rsidP="00653828">
      <w:pPr>
        <w:pStyle w:val="GrupaMTP"/>
        <w:spacing w:after="200"/>
        <w:jc w:val="both"/>
        <w:rPr>
          <w:sz w:val="22"/>
          <w:szCs w:val="22"/>
        </w:rPr>
      </w:pPr>
      <w:r w:rsidRPr="00653828">
        <w:rPr>
          <w:i/>
          <w:sz w:val="22"/>
          <w:szCs w:val="22"/>
        </w:rPr>
        <w:lastRenderedPageBreak/>
        <w:t xml:space="preserve"> - Kongres MOVE to świetna okazja do spotkania się w gronie ekspertów i praktyków rynku zeroemisyjnego transportu oraz dyskusji o tym, w jaki sposób te wyzwania zaadresować i poprawić ubiegłoroczne wyniki zarówno w 2021 r., jak i w latach następnych. Podczas konferencji szczegółowo omówimy aktualną sytuację w branży </w:t>
      </w:r>
      <w:proofErr w:type="spellStart"/>
      <w:r w:rsidRPr="00653828">
        <w:rPr>
          <w:i/>
          <w:sz w:val="22"/>
          <w:szCs w:val="22"/>
        </w:rPr>
        <w:t>elektromobilności</w:t>
      </w:r>
      <w:proofErr w:type="spellEnd"/>
      <w:r w:rsidRPr="00653828">
        <w:rPr>
          <w:i/>
          <w:sz w:val="22"/>
          <w:szCs w:val="22"/>
        </w:rPr>
        <w:t xml:space="preserve">, wiodące trendy i perspektywy na przyszłość, kreując debatę, prognozując kierunki rozwoju, a także wypracowując najlepsze rozwiązania rynkowe </w:t>
      </w:r>
      <w:r>
        <w:rPr>
          <w:i/>
          <w:sz w:val="22"/>
          <w:szCs w:val="22"/>
        </w:rPr>
        <w:br/>
      </w:r>
      <w:r w:rsidRPr="00653828">
        <w:rPr>
          <w:i/>
          <w:sz w:val="22"/>
          <w:szCs w:val="22"/>
        </w:rPr>
        <w:t xml:space="preserve">i legislacyjne – </w:t>
      </w:r>
      <w:r w:rsidRPr="00653828">
        <w:rPr>
          <w:sz w:val="22"/>
          <w:szCs w:val="22"/>
        </w:rPr>
        <w:t xml:space="preserve">wymienia Wiceprezydent AVERE. </w:t>
      </w:r>
    </w:p>
    <w:p w:rsidR="00653828" w:rsidRPr="00653828" w:rsidRDefault="00653828" w:rsidP="00653828">
      <w:pPr>
        <w:pStyle w:val="GrupaMTP"/>
        <w:jc w:val="both"/>
        <w:rPr>
          <w:b/>
          <w:sz w:val="22"/>
          <w:szCs w:val="22"/>
        </w:rPr>
      </w:pPr>
      <w:r w:rsidRPr="00653828">
        <w:rPr>
          <w:b/>
          <w:sz w:val="22"/>
          <w:szCs w:val="22"/>
        </w:rPr>
        <w:t>Szeroki zakres tematyczny</w:t>
      </w:r>
    </w:p>
    <w:p w:rsidR="00653828" w:rsidRDefault="00653828" w:rsidP="00653828">
      <w:pPr>
        <w:pStyle w:val="GrupaMTP"/>
        <w:jc w:val="both"/>
        <w:rPr>
          <w:b/>
        </w:rPr>
      </w:pPr>
    </w:p>
    <w:p w:rsidR="00653828" w:rsidRPr="00653828" w:rsidRDefault="00653828" w:rsidP="00653828">
      <w:pPr>
        <w:tabs>
          <w:tab w:val="left" w:pos="1545"/>
        </w:tabs>
        <w:spacing w:after="0"/>
        <w:jc w:val="both"/>
        <w:rPr>
          <w:rFonts w:ascii="Segoe UI" w:hAnsi="Segoe UI" w:cs="Segoe UI"/>
        </w:rPr>
      </w:pPr>
      <w:r w:rsidRPr="00653828">
        <w:rPr>
          <w:rFonts w:ascii="Segoe UI" w:hAnsi="Segoe UI" w:cs="Segoe UI"/>
        </w:rPr>
        <w:t xml:space="preserve">Podczas Kongresu poruszone zostaną liczne zagadnienia związane z rozwojem </w:t>
      </w:r>
      <w:proofErr w:type="spellStart"/>
      <w:r w:rsidRPr="00653828">
        <w:rPr>
          <w:rFonts w:ascii="Segoe UI" w:hAnsi="Segoe UI" w:cs="Segoe UI"/>
        </w:rPr>
        <w:t>elektromobilności</w:t>
      </w:r>
      <w:proofErr w:type="spellEnd"/>
      <w:r w:rsidRPr="00653828">
        <w:rPr>
          <w:rFonts w:ascii="Segoe UI" w:hAnsi="Segoe UI" w:cs="Segoe UI"/>
        </w:rPr>
        <w:t xml:space="preserve"> </w:t>
      </w:r>
      <w:r w:rsidRPr="00653828">
        <w:rPr>
          <w:rFonts w:ascii="Segoe UI" w:hAnsi="Segoe UI" w:cs="Segoe UI"/>
        </w:rPr>
        <w:br/>
        <w:t xml:space="preserve">i przyszłością branży motoryzacyjnej. Szczegółowy program Kongresu prezentuje się następująco: </w:t>
      </w:r>
    </w:p>
    <w:p w:rsidR="00653828" w:rsidRDefault="00653828" w:rsidP="00653828">
      <w:pPr>
        <w:tabs>
          <w:tab w:val="left" w:pos="1545"/>
        </w:tabs>
        <w:spacing w:after="0"/>
        <w:jc w:val="both"/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8193"/>
      </w:tblGrid>
      <w:tr w:rsidR="008C261C" w:rsidRPr="00C938A3" w:rsidTr="008C261C">
        <w:tc>
          <w:tcPr>
            <w:tcW w:w="1696" w:type="dxa"/>
            <w:shd w:val="clear" w:color="auto" w:fill="808080" w:themeFill="background1" w:themeFillShade="80"/>
          </w:tcPr>
          <w:p w:rsidR="008C261C" w:rsidRPr="00C938A3" w:rsidRDefault="008C261C" w:rsidP="00993520">
            <w:pPr>
              <w:spacing w:line="276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938A3">
              <w:rPr>
                <w:b/>
                <w:bCs/>
                <w:color w:val="FFFFFF" w:themeColor="background1"/>
                <w:sz w:val="22"/>
                <w:szCs w:val="22"/>
              </w:rPr>
              <w:t>Godzina</w:t>
            </w:r>
          </w:p>
        </w:tc>
        <w:tc>
          <w:tcPr>
            <w:tcW w:w="8193" w:type="dxa"/>
            <w:shd w:val="clear" w:color="auto" w:fill="808080" w:themeFill="background1" w:themeFillShade="80"/>
          </w:tcPr>
          <w:p w:rsidR="008C261C" w:rsidRPr="00C938A3" w:rsidRDefault="008C261C" w:rsidP="00993520">
            <w:pPr>
              <w:spacing w:line="276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938A3">
              <w:rPr>
                <w:b/>
                <w:bCs/>
                <w:color w:val="FFFFFF" w:themeColor="background1"/>
                <w:sz w:val="22"/>
                <w:szCs w:val="22"/>
              </w:rPr>
              <w:t>Aktywność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8C261C" w:rsidRDefault="008C261C" w:rsidP="0099352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10.00-10.10</w:t>
            </w:r>
          </w:p>
        </w:tc>
        <w:tc>
          <w:tcPr>
            <w:tcW w:w="8193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Otwarcie Kongresu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8C261C" w:rsidRDefault="008C261C" w:rsidP="008C261C">
            <w:pPr>
              <w:tabs>
                <w:tab w:val="left" w:pos="1047"/>
              </w:tabs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 xml:space="preserve">10.10-10.15 </w:t>
            </w:r>
          </w:p>
        </w:tc>
        <w:tc>
          <w:tcPr>
            <w:tcW w:w="8193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Gość specjalny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C938A3" w:rsidRDefault="008C261C" w:rsidP="00993520">
            <w:pPr>
              <w:tabs>
                <w:tab w:val="left" w:pos="1047"/>
              </w:tabs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10.15-10.25</w:t>
            </w:r>
          </w:p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193" w:type="dxa"/>
            <w:shd w:val="clear" w:color="auto" w:fill="FFFFFF" w:themeFill="background1"/>
          </w:tcPr>
          <w:p w:rsidR="008C261C" w:rsidRDefault="008C261C" w:rsidP="009935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Wydarzenie specjalne:</w:t>
            </w:r>
            <w:r w:rsidRPr="00C938A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15332">
              <w:rPr>
                <w:b/>
                <w:color w:val="000000" w:themeColor="text1"/>
                <w:sz w:val="22"/>
                <w:szCs w:val="22"/>
              </w:rPr>
              <w:t xml:space="preserve">Autostrada do </w:t>
            </w:r>
            <w:proofErr w:type="spellStart"/>
            <w:r w:rsidRPr="00E15332">
              <w:rPr>
                <w:b/>
                <w:color w:val="000000" w:themeColor="text1"/>
                <w:sz w:val="22"/>
                <w:szCs w:val="22"/>
              </w:rPr>
              <w:t>elektromobilności</w:t>
            </w:r>
            <w:proofErr w:type="spellEnd"/>
            <w:r w:rsidRPr="00E15332">
              <w:rPr>
                <w:b/>
                <w:color w:val="000000" w:themeColor="text1"/>
                <w:sz w:val="22"/>
                <w:szCs w:val="22"/>
              </w:rPr>
              <w:t>!</w:t>
            </w:r>
          </w:p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38A3">
              <w:rPr>
                <w:color w:val="000000" w:themeColor="text1"/>
                <w:sz w:val="22"/>
                <w:szCs w:val="22"/>
              </w:rPr>
              <w:t>Inauguracja akcji z</w:t>
            </w:r>
            <w:r>
              <w:rPr>
                <w:color w:val="000000" w:themeColor="text1"/>
                <w:sz w:val="22"/>
                <w:szCs w:val="22"/>
              </w:rPr>
              <w:t>wolnienia z opłat za przejazd A1</w:t>
            </w:r>
            <w:r w:rsidRPr="00C938A3">
              <w:rPr>
                <w:color w:val="000000" w:themeColor="text1"/>
                <w:sz w:val="22"/>
                <w:szCs w:val="22"/>
              </w:rPr>
              <w:t xml:space="preserve"> i A4 kierowców EV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10.25-11.10</w:t>
            </w:r>
          </w:p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 xml:space="preserve">Debata: </w:t>
            </w:r>
            <w:r w:rsidRPr="00C938A3">
              <w:rPr>
                <w:color w:val="000000" w:themeColor="text1"/>
                <w:sz w:val="22"/>
                <w:szCs w:val="22"/>
              </w:rPr>
              <w:t>Droga czy autostrada do zrównoważonego transportu w Polsce? Rola interesariuszy publicznych i prywatnych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D9D9D9" w:themeFill="background1" w:themeFillShade="D9"/>
          </w:tcPr>
          <w:p w:rsidR="008C261C" w:rsidRPr="00C938A3" w:rsidRDefault="008C261C" w:rsidP="00993520">
            <w:pPr>
              <w:tabs>
                <w:tab w:val="left" w:pos="1047"/>
              </w:tabs>
              <w:spacing w:line="276" w:lineRule="auto"/>
              <w:rPr>
                <w:color w:val="000000" w:themeColor="text1"/>
                <w:sz w:val="22"/>
                <w:szCs w:val="22"/>
                <w:lang w:val="en-US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11.10-11.15</w:t>
            </w:r>
          </w:p>
        </w:tc>
        <w:tc>
          <w:tcPr>
            <w:tcW w:w="8193" w:type="dxa"/>
            <w:shd w:val="clear" w:color="auto" w:fill="D9D9D9" w:themeFill="background1" w:themeFillShade="D9"/>
          </w:tcPr>
          <w:p w:rsidR="008C261C" w:rsidRPr="00C938A3" w:rsidRDefault="008C261C" w:rsidP="00993520">
            <w:pPr>
              <w:tabs>
                <w:tab w:val="left" w:pos="1047"/>
              </w:tabs>
              <w:rPr>
                <w:color w:val="000000" w:themeColor="text1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Virtual refreshment break</w:t>
            </w:r>
            <w:r w:rsidRPr="00C938A3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11.15-11.2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8193" w:type="dxa"/>
            <w:shd w:val="clear" w:color="auto" w:fill="FFFFFF" w:themeFill="background1"/>
          </w:tcPr>
          <w:p w:rsidR="008C261C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Wydarzenie specjalne:</w:t>
            </w:r>
            <w:r w:rsidRPr="00C938A3">
              <w:rPr>
                <w:color w:val="000000" w:themeColor="text1"/>
                <w:sz w:val="22"/>
                <w:szCs w:val="22"/>
              </w:rPr>
              <w:t xml:space="preserve"> Każda podróż ma znaczenie!</w:t>
            </w:r>
          </w:p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38A3">
              <w:rPr>
                <w:color w:val="000000" w:themeColor="text1"/>
                <w:sz w:val="22"/>
                <w:szCs w:val="22"/>
              </w:rPr>
              <w:t>Zapowiedź kampanii „Każda podróż ma znaczenie”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11.2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-12.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05</w:t>
            </w:r>
          </w:p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Debata:</w:t>
            </w:r>
            <w:r w:rsidRPr="00C938A3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Jakie z</w:t>
            </w:r>
            <w:r w:rsidRPr="00C938A3">
              <w:rPr>
                <w:color w:val="000000" w:themeColor="text1"/>
                <w:sz w:val="22"/>
                <w:szCs w:val="22"/>
              </w:rPr>
              <w:t xml:space="preserve">naczenie </w:t>
            </w:r>
            <w:r>
              <w:rPr>
                <w:color w:val="000000" w:themeColor="text1"/>
                <w:sz w:val="22"/>
                <w:szCs w:val="22"/>
              </w:rPr>
              <w:t xml:space="preserve">ma </w:t>
            </w:r>
            <w:proofErr w:type="spellStart"/>
            <w:r w:rsidRPr="00C938A3">
              <w:rPr>
                <w:color w:val="000000" w:themeColor="text1"/>
                <w:sz w:val="22"/>
                <w:szCs w:val="22"/>
              </w:rPr>
              <w:t>elektromobilnoś</w:t>
            </w:r>
            <w:r>
              <w:rPr>
                <w:color w:val="000000" w:themeColor="text1"/>
                <w:sz w:val="22"/>
                <w:szCs w:val="22"/>
              </w:rPr>
              <w:t>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38A3">
              <w:rPr>
                <w:color w:val="000000" w:themeColor="text1"/>
                <w:sz w:val="22"/>
                <w:szCs w:val="22"/>
              </w:rPr>
              <w:t>dla rozwoju społeczno-gospodarczego Polski</w:t>
            </w:r>
            <w:r>
              <w:rPr>
                <w:color w:val="000000" w:themeColor="text1"/>
                <w:sz w:val="22"/>
                <w:szCs w:val="22"/>
              </w:rPr>
              <w:t>?</w:t>
            </w:r>
          </w:p>
        </w:tc>
      </w:tr>
      <w:tr w:rsidR="008C261C" w:rsidRPr="004C08F9" w:rsidTr="008C261C">
        <w:tc>
          <w:tcPr>
            <w:tcW w:w="1696" w:type="dxa"/>
            <w:shd w:val="clear" w:color="auto" w:fill="D9D9D9" w:themeFill="background1" w:themeFillShade="D9"/>
          </w:tcPr>
          <w:p w:rsidR="008C261C" w:rsidRPr="00E15332" w:rsidRDefault="008C261C" w:rsidP="00993520">
            <w:pPr>
              <w:tabs>
                <w:tab w:val="left" w:pos="1047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E15332">
              <w:rPr>
                <w:b/>
                <w:color w:val="000000" w:themeColor="text1"/>
                <w:sz w:val="22"/>
                <w:szCs w:val="22"/>
                <w:lang w:val="en-US"/>
              </w:rPr>
              <w:t>12.05-12.10</w:t>
            </w:r>
          </w:p>
        </w:tc>
        <w:tc>
          <w:tcPr>
            <w:tcW w:w="8193" w:type="dxa"/>
            <w:shd w:val="clear" w:color="auto" w:fill="D9D9D9" w:themeFill="background1" w:themeFillShade="D9"/>
          </w:tcPr>
          <w:p w:rsidR="008C261C" w:rsidRPr="00C938A3" w:rsidRDefault="008C261C" w:rsidP="00993520">
            <w:pPr>
              <w:tabs>
                <w:tab w:val="left" w:pos="1047"/>
              </w:tabs>
              <w:rPr>
                <w:color w:val="000000" w:themeColor="text1"/>
                <w:lang w:val="en-US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Virtual refreshment break</w:t>
            </w:r>
            <w:r w:rsidRPr="00C938A3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8C261C" w:rsidRDefault="008C261C" w:rsidP="009935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15332">
              <w:rPr>
                <w:b/>
                <w:color w:val="000000" w:themeColor="text1"/>
                <w:sz w:val="22"/>
                <w:szCs w:val="22"/>
              </w:rPr>
              <w:t>12.</w:t>
            </w: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Pr="00E15332">
              <w:rPr>
                <w:b/>
                <w:color w:val="000000" w:themeColor="text1"/>
                <w:sz w:val="22"/>
                <w:szCs w:val="22"/>
              </w:rPr>
              <w:t>-12.15</w:t>
            </w:r>
          </w:p>
        </w:tc>
        <w:tc>
          <w:tcPr>
            <w:tcW w:w="8193" w:type="dxa"/>
            <w:shd w:val="clear" w:color="auto" w:fill="FFFFFF" w:themeFill="background1"/>
          </w:tcPr>
          <w:p w:rsidR="008C261C" w:rsidRPr="0008262D" w:rsidRDefault="008C261C" w:rsidP="009935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Ogłoszenie konkursu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38A3">
              <w:rPr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C938A3">
              <w:rPr>
                <w:color w:val="000000" w:themeColor="text1"/>
                <w:sz w:val="22"/>
                <w:szCs w:val="22"/>
              </w:rPr>
              <w:t>Mobility</w:t>
            </w:r>
            <w:proofErr w:type="spellEnd"/>
            <w:r w:rsidRPr="00C938A3">
              <w:rPr>
                <w:color w:val="000000" w:themeColor="text1"/>
                <w:sz w:val="22"/>
                <w:szCs w:val="22"/>
              </w:rPr>
              <w:t xml:space="preserve"> Media </w:t>
            </w:r>
            <w:proofErr w:type="spellStart"/>
            <w:r w:rsidRPr="00C938A3">
              <w:rPr>
                <w:color w:val="000000" w:themeColor="text1"/>
                <w:sz w:val="22"/>
                <w:szCs w:val="22"/>
              </w:rPr>
              <w:t>Awards</w:t>
            </w:r>
            <w:proofErr w:type="spellEnd"/>
            <w:r w:rsidRPr="00C938A3">
              <w:rPr>
                <w:color w:val="000000" w:themeColor="text1"/>
                <w:sz w:val="22"/>
                <w:szCs w:val="22"/>
              </w:rPr>
              <w:t xml:space="preserve"> 2021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E15332" w:rsidRDefault="008C261C" w:rsidP="009935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15332">
              <w:rPr>
                <w:b/>
                <w:color w:val="000000" w:themeColor="text1"/>
                <w:sz w:val="22"/>
                <w:szCs w:val="22"/>
              </w:rPr>
              <w:t>12.15-13.00</w:t>
            </w:r>
          </w:p>
          <w:p w:rsidR="008C261C" w:rsidRPr="00E15332" w:rsidRDefault="008C261C" w:rsidP="009935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93" w:type="dxa"/>
            <w:shd w:val="clear" w:color="auto" w:fill="FFFFFF" w:themeFill="background1"/>
          </w:tcPr>
          <w:p w:rsidR="008C261C" w:rsidRPr="004C08F9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08F9">
              <w:rPr>
                <w:b/>
                <w:bCs/>
                <w:color w:val="000000" w:themeColor="text1"/>
                <w:sz w:val="22"/>
                <w:szCs w:val="22"/>
              </w:rPr>
              <w:t>Debata:</w:t>
            </w:r>
            <w:r w:rsidRPr="004C08F9">
              <w:rPr>
                <w:color w:val="000000" w:themeColor="text1"/>
                <w:sz w:val="22"/>
                <w:szCs w:val="22"/>
              </w:rPr>
              <w:t xml:space="preserve"> Po pierwsze edukacja! Rozwój kompetencji i wzrost świadomości społecznej rozpędzi </w:t>
            </w:r>
            <w:proofErr w:type="spellStart"/>
            <w:r w:rsidRPr="004C08F9">
              <w:rPr>
                <w:color w:val="000000" w:themeColor="text1"/>
                <w:sz w:val="22"/>
                <w:szCs w:val="22"/>
              </w:rPr>
              <w:t>elektromobilność</w:t>
            </w:r>
            <w:proofErr w:type="spellEnd"/>
            <w:r w:rsidRPr="004C08F9">
              <w:rPr>
                <w:color w:val="000000" w:themeColor="text1"/>
                <w:sz w:val="22"/>
                <w:szCs w:val="22"/>
              </w:rPr>
              <w:t xml:space="preserve"> w Polsce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D9D9D9" w:themeFill="background1" w:themeFillShade="D9"/>
          </w:tcPr>
          <w:p w:rsidR="008C261C" w:rsidRPr="00E15332" w:rsidRDefault="008C261C" w:rsidP="00993520">
            <w:pPr>
              <w:tabs>
                <w:tab w:val="left" w:pos="1047"/>
              </w:tabs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15332">
              <w:rPr>
                <w:b/>
                <w:color w:val="000000" w:themeColor="text1"/>
                <w:sz w:val="22"/>
                <w:szCs w:val="22"/>
                <w:lang w:val="en-US"/>
              </w:rPr>
              <w:t>13.00-13.05</w:t>
            </w:r>
          </w:p>
        </w:tc>
        <w:tc>
          <w:tcPr>
            <w:tcW w:w="8193" w:type="dxa"/>
            <w:shd w:val="clear" w:color="auto" w:fill="D9D9D9" w:themeFill="background1" w:themeFillShade="D9"/>
          </w:tcPr>
          <w:p w:rsidR="008C261C" w:rsidRPr="00C938A3" w:rsidRDefault="008C261C" w:rsidP="00993520">
            <w:pPr>
              <w:tabs>
                <w:tab w:val="left" w:pos="1047"/>
              </w:tabs>
              <w:rPr>
                <w:b/>
                <w:bCs/>
                <w:color w:val="000000" w:themeColor="text1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Virtual refreshment break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FFFFFF" w:themeFill="background1"/>
          </w:tcPr>
          <w:p w:rsidR="008C261C" w:rsidRPr="00E15332" w:rsidRDefault="008C261C" w:rsidP="009935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15332">
              <w:rPr>
                <w:b/>
                <w:color w:val="000000" w:themeColor="text1"/>
                <w:sz w:val="22"/>
                <w:szCs w:val="22"/>
              </w:rPr>
              <w:t>13.05-13.50</w:t>
            </w:r>
            <w:bookmarkStart w:id="0" w:name="_GoBack"/>
            <w:bookmarkEnd w:id="0"/>
          </w:p>
        </w:tc>
        <w:tc>
          <w:tcPr>
            <w:tcW w:w="8193" w:type="dxa"/>
            <w:shd w:val="clear" w:color="auto" w:fill="FFFFFF" w:themeFill="background1"/>
          </w:tcPr>
          <w:p w:rsidR="008C261C" w:rsidRPr="00C938A3" w:rsidRDefault="008C261C" w:rsidP="009935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Debata:</w:t>
            </w:r>
            <w:r w:rsidRPr="00C938A3">
              <w:rPr>
                <w:color w:val="000000" w:themeColor="text1"/>
                <w:sz w:val="22"/>
                <w:szCs w:val="22"/>
              </w:rPr>
              <w:t xml:space="preserve"> Powszechność punktów ładowania gwarancją rozwoju sektora </w:t>
            </w:r>
            <w:proofErr w:type="spellStart"/>
            <w:r w:rsidRPr="00C938A3">
              <w:rPr>
                <w:color w:val="000000" w:themeColor="text1"/>
                <w:sz w:val="22"/>
                <w:szCs w:val="22"/>
              </w:rPr>
              <w:t>elektromobilności</w:t>
            </w:r>
            <w:proofErr w:type="spellEnd"/>
            <w:r w:rsidRPr="00C938A3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8C261C" w:rsidRPr="00C938A3" w:rsidTr="008C261C">
        <w:tc>
          <w:tcPr>
            <w:tcW w:w="1696" w:type="dxa"/>
            <w:shd w:val="clear" w:color="auto" w:fill="D9D9D9" w:themeFill="background1" w:themeFillShade="D9"/>
          </w:tcPr>
          <w:p w:rsidR="008C261C" w:rsidRPr="00E15332" w:rsidRDefault="008C261C" w:rsidP="009935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15332">
              <w:rPr>
                <w:b/>
                <w:color w:val="000000" w:themeColor="text1"/>
                <w:sz w:val="22"/>
                <w:szCs w:val="22"/>
              </w:rPr>
              <w:t>13.50</w:t>
            </w: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  <w:r w:rsidRPr="00E15332">
              <w:rPr>
                <w:b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8193" w:type="dxa"/>
            <w:shd w:val="clear" w:color="auto" w:fill="D9D9D9" w:themeFill="background1" w:themeFillShade="D9"/>
          </w:tcPr>
          <w:p w:rsidR="008C261C" w:rsidRPr="00C938A3" w:rsidRDefault="008C261C" w:rsidP="00993520">
            <w:pPr>
              <w:rPr>
                <w:b/>
                <w:bCs/>
                <w:color w:val="000000" w:themeColor="text1"/>
              </w:rPr>
            </w:pPr>
            <w:r w:rsidRPr="00C938A3">
              <w:rPr>
                <w:b/>
                <w:bCs/>
                <w:color w:val="000000" w:themeColor="text1"/>
                <w:sz w:val="22"/>
                <w:szCs w:val="22"/>
              </w:rPr>
              <w:t>ZAKOŃCZENIE KONGRESU</w:t>
            </w:r>
          </w:p>
        </w:tc>
      </w:tr>
    </w:tbl>
    <w:p w:rsidR="00653828" w:rsidRDefault="00653828" w:rsidP="00653828">
      <w:pPr>
        <w:tabs>
          <w:tab w:val="left" w:pos="1545"/>
        </w:tabs>
        <w:spacing w:after="0"/>
        <w:jc w:val="both"/>
        <w:rPr>
          <w:rFonts w:ascii="Segoe UI" w:hAnsi="Segoe UI" w:cs="Segoe UI"/>
        </w:rPr>
      </w:pPr>
    </w:p>
    <w:p w:rsidR="00653828" w:rsidRPr="00653828" w:rsidRDefault="00653828" w:rsidP="00653828">
      <w:pPr>
        <w:pStyle w:val="GrupaMTP"/>
        <w:jc w:val="both"/>
        <w:rPr>
          <w:sz w:val="22"/>
          <w:szCs w:val="22"/>
        </w:rPr>
      </w:pPr>
      <w:r w:rsidRPr="00653828">
        <w:rPr>
          <w:sz w:val="22"/>
          <w:szCs w:val="22"/>
        </w:rPr>
        <w:t xml:space="preserve">Wszystkie debaty, prelekcje, które odbędą się w ramach Kongresu MOVE będzie można śledzić na żywo w Internecie. O szczegółach te bezpłatnej transmisji poinformujemy już niebawem. </w:t>
      </w:r>
    </w:p>
    <w:p w:rsidR="00653828" w:rsidRPr="00653828" w:rsidRDefault="00653828" w:rsidP="00653828">
      <w:pPr>
        <w:pStyle w:val="GrupaMTP"/>
        <w:jc w:val="both"/>
        <w:rPr>
          <w:sz w:val="22"/>
          <w:szCs w:val="22"/>
        </w:rPr>
      </w:pPr>
    </w:p>
    <w:p w:rsidR="00653828" w:rsidRPr="00653828" w:rsidRDefault="00653828" w:rsidP="00653828">
      <w:pPr>
        <w:pStyle w:val="GrupaMTP"/>
        <w:jc w:val="both"/>
        <w:rPr>
          <w:sz w:val="22"/>
          <w:szCs w:val="22"/>
        </w:rPr>
      </w:pPr>
      <w:r w:rsidRPr="00653828">
        <w:rPr>
          <w:sz w:val="22"/>
          <w:szCs w:val="22"/>
        </w:rPr>
        <w:t>Wszelkie informacje na temat Kongresu są dostępne na stronie: www.kongresmove.pl.</w:t>
      </w:r>
    </w:p>
    <w:p w:rsidR="00653828" w:rsidRPr="00653828" w:rsidRDefault="00653828" w:rsidP="00653828">
      <w:pPr>
        <w:pStyle w:val="GrupaMTP"/>
        <w:jc w:val="both"/>
        <w:rPr>
          <w:sz w:val="22"/>
          <w:szCs w:val="22"/>
        </w:rPr>
      </w:pPr>
    </w:p>
    <w:p w:rsidR="00653828" w:rsidRPr="00653828" w:rsidRDefault="00653828" w:rsidP="00653828">
      <w:pPr>
        <w:pStyle w:val="GrupaMTP"/>
        <w:jc w:val="both"/>
        <w:rPr>
          <w:sz w:val="22"/>
          <w:szCs w:val="22"/>
        </w:rPr>
      </w:pPr>
      <w:r w:rsidRPr="00653828">
        <w:rPr>
          <w:sz w:val="22"/>
          <w:szCs w:val="22"/>
        </w:rPr>
        <w:t xml:space="preserve">Kongres MOVE jest współfinansowany przez Ministra Rozwoju, Pracy i Technologii. </w:t>
      </w:r>
    </w:p>
    <w:p w:rsidR="003255F0" w:rsidRDefault="003255F0" w:rsidP="003255F0">
      <w:pPr>
        <w:tabs>
          <w:tab w:val="left" w:pos="1545"/>
        </w:tabs>
        <w:spacing w:after="0"/>
        <w:jc w:val="both"/>
        <w:rPr>
          <w:rFonts w:ascii="Segoe UI" w:hAnsi="Segoe UI" w:cs="Segoe UI"/>
        </w:rPr>
      </w:pPr>
    </w:p>
    <w:p w:rsidR="00A36528" w:rsidRPr="00800732" w:rsidRDefault="00A36528" w:rsidP="00A36528">
      <w:pPr>
        <w:jc w:val="center"/>
        <w:rPr>
          <w:rFonts w:cs="Segoe UI"/>
        </w:rPr>
      </w:pPr>
      <w:r>
        <w:rPr>
          <w:rFonts w:cs="Segoe UI"/>
        </w:rPr>
        <w:t>***</w:t>
      </w:r>
    </w:p>
    <w:p w:rsidR="00A36528" w:rsidRPr="00634C95" w:rsidRDefault="00A36528" w:rsidP="00A36528">
      <w:pPr>
        <w:pStyle w:val="GrupaMTP"/>
        <w:jc w:val="both"/>
        <w:rPr>
          <w:sz w:val="22"/>
          <w:szCs w:val="22"/>
        </w:rPr>
      </w:pPr>
      <w:r w:rsidRPr="00634C95">
        <w:rPr>
          <w:b/>
          <w:sz w:val="22"/>
          <w:szCs w:val="22"/>
        </w:rPr>
        <w:t>Grupa MTP</w:t>
      </w:r>
      <w:r w:rsidRPr="00634C95">
        <w:rPr>
          <w:sz w:val="22"/>
          <w:szCs w:val="22"/>
        </w:rPr>
        <w:t xml:space="preserve"> to lider wśród organizatorów imprez wystawienniczych w Polsce </w:t>
      </w:r>
      <w:r w:rsidRPr="00634C95">
        <w:rPr>
          <w:sz w:val="22"/>
          <w:szCs w:val="22"/>
        </w:rPr>
        <w:br/>
        <w:t xml:space="preserve">i Europie Środkowo-Wschodniej, który poza uznanymi w świecie biznesowymi imprezami targowymi, organizuje kongresy, konferencje, wydarzenia kulturalne, sportowe, w tym </w:t>
      </w:r>
      <w:proofErr w:type="spellStart"/>
      <w:r w:rsidRPr="00634C95">
        <w:rPr>
          <w:sz w:val="22"/>
          <w:szCs w:val="22"/>
        </w:rPr>
        <w:t>megaeventy</w:t>
      </w:r>
      <w:proofErr w:type="spellEnd"/>
      <w:r w:rsidRPr="00634C95">
        <w:rPr>
          <w:sz w:val="22"/>
          <w:szCs w:val="22"/>
        </w:rPr>
        <w:t xml:space="preserve">, przyciągające ponad milion gości z całego świata. </w:t>
      </w:r>
    </w:p>
    <w:p w:rsidR="00A36528" w:rsidRPr="00634C95" w:rsidRDefault="00A36528" w:rsidP="00A36528">
      <w:pPr>
        <w:pStyle w:val="GrupaMTP"/>
        <w:rPr>
          <w:sz w:val="22"/>
          <w:szCs w:val="22"/>
        </w:rPr>
      </w:pPr>
    </w:p>
    <w:p w:rsidR="00A36528" w:rsidRPr="00634C95" w:rsidRDefault="00A36528" w:rsidP="00A36528">
      <w:pPr>
        <w:pStyle w:val="GrupaMTP"/>
        <w:rPr>
          <w:sz w:val="22"/>
          <w:szCs w:val="22"/>
        </w:rPr>
      </w:pPr>
      <w:r w:rsidRPr="00634C95">
        <w:rPr>
          <w:sz w:val="22"/>
          <w:szCs w:val="22"/>
        </w:rPr>
        <w:t>www.GrupaMTP.pl</w:t>
      </w:r>
    </w:p>
    <w:p w:rsidR="00A36528" w:rsidRDefault="00A36528" w:rsidP="00A36528">
      <w:pPr>
        <w:pStyle w:val="GrupaMTP"/>
      </w:pPr>
    </w:p>
    <w:p w:rsidR="00653828" w:rsidRPr="00653828" w:rsidRDefault="00653828" w:rsidP="00653828">
      <w:pPr>
        <w:pStyle w:val="GrupaMTP"/>
        <w:jc w:val="both"/>
        <w:rPr>
          <w:sz w:val="22"/>
          <w:szCs w:val="22"/>
        </w:rPr>
      </w:pPr>
      <w:r w:rsidRPr="00653828">
        <w:rPr>
          <w:b/>
          <w:sz w:val="22"/>
          <w:szCs w:val="22"/>
        </w:rPr>
        <w:t xml:space="preserve">Kongres MOVE – International </w:t>
      </w:r>
      <w:proofErr w:type="spellStart"/>
      <w:r w:rsidRPr="00653828">
        <w:rPr>
          <w:b/>
          <w:sz w:val="22"/>
          <w:szCs w:val="22"/>
        </w:rPr>
        <w:t>Mobility</w:t>
      </w:r>
      <w:proofErr w:type="spellEnd"/>
      <w:r w:rsidRPr="00653828">
        <w:rPr>
          <w:b/>
          <w:sz w:val="22"/>
          <w:szCs w:val="22"/>
        </w:rPr>
        <w:t xml:space="preserve"> </w:t>
      </w:r>
      <w:proofErr w:type="spellStart"/>
      <w:r w:rsidRPr="00653828">
        <w:rPr>
          <w:b/>
          <w:sz w:val="22"/>
          <w:szCs w:val="22"/>
        </w:rPr>
        <w:t>Congress</w:t>
      </w:r>
      <w:proofErr w:type="spellEnd"/>
      <w:r w:rsidRPr="00653828">
        <w:rPr>
          <w:b/>
          <w:sz w:val="22"/>
          <w:szCs w:val="22"/>
        </w:rPr>
        <w:t xml:space="preserve"> </w:t>
      </w:r>
      <w:r w:rsidRPr="00653828">
        <w:rPr>
          <w:sz w:val="22"/>
          <w:szCs w:val="22"/>
        </w:rPr>
        <w:t>– forum dedykowane ekspertom i praktykom rynku e-</w:t>
      </w:r>
      <w:proofErr w:type="spellStart"/>
      <w:r w:rsidRPr="00653828">
        <w:rPr>
          <w:sz w:val="22"/>
          <w:szCs w:val="22"/>
        </w:rPr>
        <w:t>mobility</w:t>
      </w:r>
      <w:proofErr w:type="spellEnd"/>
      <w:r w:rsidRPr="00653828">
        <w:rPr>
          <w:sz w:val="22"/>
          <w:szCs w:val="22"/>
        </w:rPr>
        <w:t xml:space="preserve"> w Europie Środkowo-Wschodniej. MOVE to miejsce wymiany wiedzy oraz doświadczeń w obszarze zrównoważonego transportu, w którym biorą udział przedstawiciele biznesu, administracji publicznej i świata nauki. </w:t>
      </w:r>
    </w:p>
    <w:p w:rsidR="00653828" w:rsidRPr="00653828" w:rsidRDefault="00653828" w:rsidP="00653828">
      <w:pPr>
        <w:pStyle w:val="GrupaMTP"/>
        <w:tabs>
          <w:tab w:val="left" w:pos="1956"/>
        </w:tabs>
        <w:jc w:val="both"/>
        <w:rPr>
          <w:sz w:val="22"/>
          <w:szCs w:val="22"/>
        </w:rPr>
      </w:pPr>
      <w:r w:rsidRPr="00653828">
        <w:rPr>
          <w:sz w:val="22"/>
          <w:szCs w:val="22"/>
        </w:rPr>
        <w:tab/>
      </w:r>
    </w:p>
    <w:p w:rsidR="00653828" w:rsidRPr="00653828" w:rsidRDefault="00653828" w:rsidP="00653828">
      <w:pPr>
        <w:pStyle w:val="GrupaMTP"/>
        <w:jc w:val="both"/>
        <w:rPr>
          <w:sz w:val="22"/>
          <w:szCs w:val="22"/>
        </w:rPr>
      </w:pPr>
      <w:r w:rsidRPr="00653828">
        <w:rPr>
          <w:sz w:val="22"/>
          <w:szCs w:val="22"/>
        </w:rPr>
        <w:t>www.kongresmove.pl</w:t>
      </w: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</w:pPr>
    </w:p>
    <w:p w:rsidR="008F3371" w:rsidRPr="002909E7" w:rsidRDefault="008F3371" w:rsidP="008F3371">
      <w:pPr>
        <w:tabs>
          <w:tab w:val="left" w:pos="1545"/>
        </w:tabs>
        <w:rPr>
          <w:rFonts w:ascii="Segoe UI" w:hAnsi="Segoe UI" w:cs="Segoe UI"/>
        </w:rPr>
        <w:sectPr w:rsidR="008F3371" w:rsidRPr="002909E7" w:rsidSect="008F3371">
          <w:headerReference w:type="default" r:id="rId7"/>
          <w:footerReference w:type="default" r:id="rId8"/>
          <w:pgSz w:w="11906" w:h="16838" w:code="9"/>
          <w:pgMar w:top="1440" w:right="1080" w:bottom="1440" w:left="1080" w:header="227" w:footer="227" w:gutter="0"/>
          <w:cols w:space="708"/>
          <w:docGrid w:linePitch="360"/>
        </w:sectPr>
      </w:pPr>
    </w:p>
    <w:p w:rsidR="007560E3" w:rsidRPr="002909E7" w:rsidRDefault="007560E3" w:rsidP="008F3371">
      <w:pPr>
        <w:tabs>
          <w:tab w:val="left" w:pos="1545"/>
        </w:tabs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8F3371" w:rsidP="008F3371">
      <w:pPr>
        <w:tabs>
          <w:tab w:val="left" w:pos="1475"/>
        </w:tabs>
        <w:rPr>
          <w:rFonts w:ascii="Segoe UI" w:hAnsi="Segoe UI" w:cs="Segoe UI"/>
        </w:rPr>
      </w:pPr>
      <w:r w:rsidRPr="002909E7">
        <w:rPr>
          <w:rFonts w:ascii="Segoe UI" w:hAnsi="Segoe UI" w:cs="Segoe UI"/>
        </w:rPr>
        <w:tab/>
      </w:r>
    </w:p>
    <w:p w:rsidR="00281EAC" w:rsidRPr="002909E7" w:rsidRDefault="0014410E" w:rsidP="0014410E">
      <w:pPr>
        <w:tabs>
          <w:tab w:val="left" w:pos="1359"/>
        </w:tabs>
        <w:rPr>
          <w:rFonts w:ascii="Segoe UI" w:hAnsi="Segoe UI" w:cs="Segoe UI"/>
        </w:rPr>
      </w:pPr>
      <w:r w:rsidRPr="002909E7">
        <w:rPr>
          <w:rFonts w:ascii="Segoe UI" w:hAnsi="Segoe UI" w:cs="Segoe UI"/>
        </w:rPr>
        <w:tab/>
      </w: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p w:rsidR="00281EAC" w:rsidRPr="002909E7" w:rsidRDefault="00281EAC">
      <w:pPr>
        <w:rPr>
          <w:rFonts w:ascii="Segoe UI" w:hAnsi="Segoe UI" w:cs="Segoe UI"/>
        </w:rPr>
      </w:pPr>
    </w:p>
    <w:sectPr w:rsidR="00281EAC" w:rsidRPr="002909E7" w:rsidSect="008F3371">
      <w:pgSz w:w="11906" w:h="16838"/>
      <w:pgMar w:top="1418" w:right="1418" w:bottom="1418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65" w:rsidRDefault="00854065" w:rsidP="00313D26">
      <w:pPr>
        <w:spacing w:after="0" w:line="240" w:lineRule="auto"/>
      </w:pPr>
      <w:r>
        <w:separator/>
      </w:r>
    </w:p>
  </w:endnote>
  <w:endnote w:type="continuationSeparator" w:id="0">
    <w:p w:rsidR="00854065" w:rsidRDefault="00854065" w:rsidP="0031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5" w:rsidRDefault="00854065" w:rsidP="00F876D8">
    <w:pPr>
      <w:pStyle w:val="Stopka"/>
      <w:tabs>
        <w:tab w:val="clear" w:pos="4536"/>
        <w:tab w:val="clear" w:pos="9072"/>
        <w:tab w:val="left" w:pos="2856"/>
      </w:tabs>
    </w:pPr>
    <w:r>
      <w:rPr>
        <w:noProof/>
        <w:lang w:eastAsia="pl-PL"/>
      </w:rPr>
      <w:drawing>
        <wp:inline distT="0" distB="0" distL="0" distR="0" wp14:anchorId="73CF7BAF" wp14:editId="79C8E9F9">
          <wp:extent cx="6858000" cy="151118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20"/>
                  <a:stretch/>
                </pic:blipFill>
                <pic:spPr bwMode="auto">
                  <a:xfrm>
                    <a:off x="0" y="0"/>
                    <a:ext cx="6877586" cy="151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2BC4E9F9" wp14:editId="3C50BA51">
          <wp:extent cx="5760720" cy="815086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65" w:rsidRDefault="00854065" w:rsidP="00313D26">
      <w:pPr>
        <w:spacing w:after="0" w:line="240" w:lineRule="auto"/>
      </w:pPr>
      <w:r>
        <w:separator/>
      </w:r>
    </w:p>
  </w:footnote>
  <w:footnote w:type="continuationSeparator" w:id="0">
    <w:p w:rsidR="00854065" w:rsidRDefault="00854065" w:rsidP="0031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065" w:rsidRDefault="00854065" w:rsidP="008F3371">
    <w:pPr>
      <w:pStyle w:val="Nagwek"/>
    </w:pPr>
    <w:r>
      <w:rPr>
        <w:noProof/>
        <w:lang w:eastAsia="pl-PL"/>
      </w:rPr>
      <w:drawing>
        <wp:inline distT="0" distB="0" distL="0" distR="0" wp14:anchorId="0A9B035F" wp14:editId="77DCFC7F">
          <wp:extent cx="3177141" cy="101763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P 100-lecie_MTP 100 horiz E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" t="18621" b="13294"/>
                  <a:stretch/>
                </pic:blipFill>
                <pic:spPr bwMode="auto">
                  <a:xfrm>
                    <a:off x="0" y="0"/>
                    <a:ext cx="3185670" cy="1020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26"/>
    <w:rsid w:val="0014410E"/>
    <w:rsid w:val="001A21C5"/>
    <w:rsid w:val="00281EAC"/>
    <w:rsid w:val="002909E7"/>
    <w:rsid w:val="00293FD5"/>
    <w:rsid w:val="00313D26"/>
    <w:rsid w:val="003255F0"/>
    <w:rsid w:val="003E29E0"/>
    <w:rsid w:val="00414200"/>
    <w:rsid w:val="00433A4C"/>
    <w:rsid w:val="00442198"/>
    <w:rsid w:val="00634C95"/>
    <w:rsid w:val="00653828"/>
    <w:rsid w:val="007560E3"/>
    <w:rsid w:val="007B549C"/>
    <w:rsid w:val="00854065"/>
    <w:rsid w:val="008B251D"/>
    <w:rsid w:val="008C261C"/>
    <w:rsid w:val="008F3371"/>
    <w:rsid w:val="00964943"/>
    <w:rsid w:val="00A36528"/>
    <w:rsid w:val="00AF2F2C"/>
    <w:rsid w:val="00B54569"/>
    <w:rsid w:val="00B8071C"/>
    <w:rsid w:val="00F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26"/>
  </w:style>
  <w:style w:type="paragraph" w:styleId="Stopka">
    <w:name w:val="footer"/>
    <w:basedOn w:val="Normalny"/>
    <w:link w:val="StopkaZnak"/>
    <w:uiPriority w:val="99"/>
    <w:unhideWhenUsed/>
    <w:rsid w:val="0031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26"/>
  </w:style>
  <w:style w:type="paragraph" w:styleId="Tekstdymka">
    <w:name w:val="Balloon Text"/>
    <w:basedOn w:val="Normalny"/>
    <w:link w:val="TekstdymkaZnak"/>
    <w:uiPriority w:val="99"/>
    <w:semiHidden/>
    <w:unhideWhenUsed/>
    <w:rsid w:val="0031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D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6528"/>
    <w:rPr>
      <w:color w:val="0000FF" w:themeColor="hyperlink"/>
      <w:u w:val="single"/>
    </w:rPr>
  </w:style>
  <w:style w:type="paragraph" w:customStyle="1" w:styleId="GrupaMTP">
    <w:name w:val="Grupa MTP"/>
    <w:basedOn w:val="Normalny"/>
    <w:qFormat/>
    <w:rsid w:val="00A36528"/>
    <w:pPr>
      <w:spacing w:after="0" w:line="240" w:lineRule="auto"/>
    </w:pPr>
    <w:rPr>
      <w:rFonts w:ascii="Segoe UI" w:hAnsi="Segoe UI" w:cs="Segoe UI"/>
      <w:sz w:val="24"/>
      <w:szCs w:val="24"/>
    </w:rPr>
  </w:style>
  <w:style w:type="paragraph" w:styleId="Akapitzlist">
    <w:name w:val="List Paragraph"/>
    <w:basedOn w:val="Normalny"/>
    <w:uiPriority w:val="34"/>
    <w:qFormat/>
    <w:rsid w:val="006538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38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D26"/>
  </w:style>
  <w:style w:type="paragraph" w:styleId="Stopka">
    <w:name w:val="footer"/>
    <w:basedOn w:val="Normalny"/>
    <w:link w:val="StopkaZnak"/>
    <w:uiPriority w:val="99"/>
    <w:unhideWhenUsed/>
    <w:rsid w:val="0031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D26"/>
  </w:style>
  <w:style w:type="paragraph" w:styleId="Tekstdymka">
    <w:name w:val="Balloon Text"/>
    <w:basedOn w:val="Normalny"/>
    <w:link w:val="TekstdymkaZnak"/>
    <w:uiPriority w:val="99"/>
    <w:semiHidden/>
    <w:unhideWhenUsed/>
    <w:rsid w:val="0031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D2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6528"/>
    <w:rPr>
      <w:color w:val="0000FF" w:themeColor="hyperlink"/>
      <w:u w:val="single"/>
    </w:rPr>
  </w:style>
  <w:style w:type="paragraph" w:customStyle="1" w:styleId="GrupaMTP">
    <w:name w:val="Grupa MTP"/>
    <w:basedOn w:val="Normalny"/>
    <w:qFormat/>
    <w:rsid w:val="00A36528"/>
    <w:pPr>
      <w:spacing w:after="0" w:line="240" w:lineRule="auto"/>
    </w:pPr>
    <w:rPr>
      <w:rFonts w:ascii="Segoe UI" w:hAnsi="Segoe UI" w:cs="Segoe UI"/>
      <w:sz w:val="24"/>
      <w:szCs w:val="24"/>
    </w:rPr>
  </w:style>
  <w:style w:type="paragraph" w:styleId="Akapitzlist">
    <w:name w:val="List Paragraph"/>
    <w:basedOn w:val="Normalny"/>
    <w:uiPriority w:val="34"/>
    <w:qFormat/>
    <w:rsid w:val="006538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5382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Mojska</dc:creator>
  <cp:lastModifiedBy>Aleksandra Skibińska</cp:lastModifiedBy>
  <cp:revision>5</cp:revision>
  <dcterms:created xsi:type="dcterms:W3CDTF">2021-06-02T09:03:00Z</dcterms:created>
  <dcterms:modified xsi:type="dcterms:W3CDTF">2021-06-07T06:25:00Z</dcterms:modified>
</cp:coreProperties>
</file>